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3D7E8" w14:textId="179B081A" w:rsidR="008426A1" w:rsidRDefault="008426A1" w:rsidP="008426A1">
      <w:pPr>
        <w:rPr>
          <w:b/>
          <w:bCs/>
        </w:rPr>
      </w:pPr>
      <w:r>
        <w:rPr>
          <w:rFonts w:ascii="Times" w:eastAsiaTheme="minorEastAsia" w:hAnsi="Times" w:cs="Calibri"/>
          <w:noProof/>
          <w:sz w:val="32"/>
          <w:szCs w:val="32"/>
          <w:lang w:eastAsia="fr-FR"/>
        </w:rPr>
        <w:drawing>
          <wp:inline distT="0" distB="0" distL="0" distR="0" wp14:anchorId="01F3F290" wp14:editId="582903B2">
            <wp:extent cx="2164240" cy="517160"/>
            <wp:effectExtent l="0" t="0" r="0" b="3810"/>
            <wp:docPr id="909272301"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72301" name="Image 1" descr="Une image contenant texte, Police, logo, Graphique&#10;&#10;Le contenu généré par l’IA peut êtr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88034" cy="546741"/>
                    </a:xfrm>
                    <a:prstGeom prst="rect">
                      <a:avLst/>
                    </a:prstGeom>
                  </pic:spPr>
                </pic:pic>
              </a:graphicData>
            </a:graphic>
          </wp:inline>
        </w:drawing>
      </w:r>
      <w:r>
        <w:rPr>
          <w:b/>
          <w:bCs/>
        </w:rPr>
        <w:tab/>
      </w:r>
      <w:r>
        <w:rPr>
          <w:b/>
          <w:bCs/>
        </w:rPr>
        <w:tab/>
      </w:r>
      <w:r>
        <w:rPr>
          <w:b/>
          <w:bCs/>
        </w:rPr>
        <w:tab/>
      </w:r>
      <w:r>
        <w:rPr>
          <w:b/>
          <w:bCs/>
        </w:rPr>
        <w:tab/>
      </w:r>
      <w:r>
        <w:rPr>
          <w:b/>
          <w:bCs/>
        </w:rPr>
        <w:tab/>
      </w:r>
      <w:r w:rsidRPr="0092062B">
        <w:rPr>
          <w:rFonts w:ascii="Times" w:eastAsiaTheme="minorEastAsia" w:hAnsi="Times" w:cs="Calibri"/>
          <w:noProof/>
          <w:sz w:val="32"/>
          <w:szCs w:val="32"/>
          <w:lang w:eastAsia="fr-FR"/>
        </w:rPr>
        <w:drawing>
          <wp:inline distT="0" distB="0" distL="0" distR="0" wp14:anchorId="4860D3FD" wp14:editId="26C08CD2">
            <wp:extent cx="1611443" cy="605790"/>
            <wp:effectExtent l="0" t="0" r="1905" b="3810"/>
            <wp:docPr id="572264344" name="Image 2" descr="Une image contenant texte, Police, logo, capture d’écran&#10;&#10;Description générée automatiquement">
              <a:extLst xmlns:a="http://schemas.openxmlformats.org/drawingml/2006/main">
                <a:ext uri="{FF2B5EF4-FFF2-40B4-BE49-F238E27FC236}">
                  <a16:creationId xmlns:a16="http://schemas.microsoft.com/office/drawing/2014/main" id="{24CBFA7E-A72D-368B-3D75-6E6EA7F2C6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Une image contenant texte, Police, logo, capture d’écran&#10;&#10;Description générée automatiquement">
                      <a:extLst>
                        <a:ext uri="{FF2B5EF4-FFF2-40B4-BE49-F238E27FC236}">
                          <a16:creationId xmlns:a16="http://schemas.microsoft.com/office/drawing/2014/main" id="{24CBFA7E-A72D-368B-3D75-6E6EA7F2C615}"/>
                        </a:ext>
                      </a:extLst>
                    </pic:cNvPr>
                    <pic:cNvPicPr>
                      <a:picLocks noChangeAspect="1"/>
                    </pic:cNvPicPr>
                  </pic:nvPicPr>
                  <pic:blipFill>
                    <a:blip r:embed="rId5"/>
                    <a:stretch>
                      <a:fillRect/>
                    </a:stretch>
                  </pic:blipFill>
                  <pic:spPr>
                    <a:xfrm>
                      <a:off x="0" y="0"/>
                      <a:ext cx="1732377" cy="651253"/>
                    </a:xfrm>
                    <a:prstGeom prst="rect">
                      <a:avLst/>
                    </a:prstGeom>
                  </pic:spPr>
                </pic:pic>
              </a:graphicData>
            </a:graphic>
          </wp:inline>
        </w:drawing>
      </w:r>
    </w:p>
    <w:p w14:paraId="1256EC62" w14:textId="77777777" w:rsidR="008426A1" w:rsidRDefault="008426A1" w:rsidP="008426A1">
      <w:pPr>
        <w:jc w:val="center"/>
        <w:rPr>
          <w:b/>
          <w:bCs/>
        </w:rPr>
      </w:pPr>
    </w:p>
    <w:p w14:paraId="268C847A" w14:textId="77777777" w:rsidR="008426A1" w:rsidRDefault="008426A1" w:rsidP="008426A1">
      <w:pPr>
        <w:rPr>
          <w:b/>
          <w:bCs/>
        </w:rPr>
      </w:pPr>
    </w:p>
    <w:p w14:paraId="38726FD3" w14:textId="28C19C0E" w:rsidR="00EA64BA" w:rsidRPr="008426A1" w:rsidRDefault="00BB7E78" w:rsidP="008426A1">
      <w:pPr>
        <w:jc w:val="center"/>
        <w:rPr>
          <w:b/>
          <w:bCs/>
          <w:sz w:val="28"/>
          <w:szCs w:val="28"/>
        </w:rPr>
      </w:pPr>
      <w:r w:rsidRPr="008426A1">
        <w:rPr>
          <w:b/>
          <w:bCs/>
          <w:sz w:val="28"/>
          <w:szCs w:val="28"/>
        </w:rPr>
        <w:t>Droits fondamentaux et droit de l’urbanisme</w:t>
      </w:r>
    </w:p>
    <w:p w14:paraId="1938D4C9" w14:textId="77777777" w:rsidR="00BB7E78" w:rsidRDefault="00BB7E78"/>
    <w:p w14:paraId="3447E269" w14:textId="77777777" w:rsidR="00BB7E78" w:rsidRPr="008426A1" w:rsidRDefault="00BB7E78" w:rsidP="00BB7E78">
      <w:pPr>
        <w:jc w:val="both"/>
        <w:rPr>
          <w:sz w:val="24"/>
          <w:szCs w:val="24"/>
        </w:rPr>
      </w:pPr>
      <w:r w:rsidRPr="008426A1">
        <w:rPr>
          <w:sz w:val="24"/>
          <w:szCs w:val="24"/>
        </w:rPr>
        <w:t>Le droit de l’urbanisme n’échappe pas plus que les autres branches du droit aux effets de la reconnaissance des droits fondamentaux, tant par les normes constitutionnelles des Etats européens que par les normes européennes, qu’il s’agisse de celles consacrées par l’Union européenne ou de celles résultant de la Convention européenne des droits de l’homme.</w:t>
      </w:r>
    </w:p>
    <w:p w14:paraId="44C5A33F" w14:textId="60DEA33B" w:rsidR="00BB7E78" w:rsidRPr="008426A1" w:rsidRDefault="00BB7E78" w:rsidP="00BB7E78">
      <w:pPr>
        <w:jc w:val="both"/>
        <w:rPr>
          <w:sz w:val="24"/>
          <w:szCs w:val="24"/>
        </w:rPr>
      </w:pPr>
      <w:r w:rsidRPr="008426A1">
        <w:rPr>
          <w:sz w:val="24"/>
          <w:szCs w:val="24"/>
        </w:rPr>
        <w:t>Pour certaines de ces normes, elles limitent les prérogatives des autorités administratives. Par exemple, au nom de la protection du droit à la vie privée, les décisions de démolir les constructions irrégulières sont soumises au contrôle de proportionnalité. Dans la même veine, la possibilité pour les autorités publiques d’imposer des servitudes d’urbanisme pour construire des villes agréables, respectueuses de l’environnement, de la mixité sociale, etc. doit compter avec le respect du droit de propriété. Certes, les juges constitutionnels et européens ont adopté des jurisprudences favorables à la multiplication de ces servitudes, mais toujours en alarmant sur le fait qu’il ne faut pas dépasser la ligne rouge. Mais le tracé de cette ligne est incertain, ce qui est source d’insécurité juridique</w:t>
      </w:r>
      <w:r w:rsidR="00AB12A8" w:rsidRPr="008426A1">
        <w:rPr>
          <w:sz w:val="24"/>
          <w:szCs w:val="24"/>
        </w:rPr>
        <w:t xml:space="preserve"> et ce d’autant plus que le droit à un environnement sain joue, le plus souvent, au détriment du droit des propriétaires à construire, sans que l’on sache jusqu’où.</w:t>
      </w:r>
    </w:p>
    <w:p w14:paraId="6D147E34" w14:textId="77777777" w:rsidR="00BB7E78" w:rsidRPr="008426A1" w:rsidRDefault="00BB7E78" w:rsidP="00BB7E78">
      <w:pPr>
        <w:jc w:val="both"/>
        <w:rPr>
          <w:sz w:val="24"/>
          <w:szCs w:val="24"/>
        </w:rPr>
      </w:pPr>
      <w:r w:rsidRPr="008426A1">
        <w:rPr>
          <w:sz w:val="24"/>
          <w:szCs w:val="24"/>
        </w:rPr>
        <w:t xml:space="preserve">D’autres normes ont au contraire pour objet d’imposer </w:t>
      </w:r>
      <w:r w:rsidR="00AB12A8" w:rsidRPr="008426A1">
        <w:rPr>
          <w:sz w:val="24"/>
          <w:szCs w:val="24"/>
        </w:rPr>
        <w:t xml:space="preserve">des obligations positives </w:t>
      </w:r>
      <w:r w:rsidRPr="008426A1">
        <w:rPr>
          <w:sz w:val="24"/>
          <w:szCs w:val="24"/>
        </w:rPr>
        <w:t>aux pouvoirs publics</w:t>
      </w:r>
      <w:r w:rsidR="00AB12A8" w:rsidRPr="008426A1">
        <w:rPr>
          <w:sz w:val="24"/>
          <w:szCs w:val="24"/>
        </w:rPr>
        <w:t>. A cet égard, le fait qu’en Espagne, même si son objet porte surtout sur le logement, le droit à la ville ait été consacré en 2025 est une étape importante dans la constitutionnalisation du droit de l’urbanisme.</w:t>
      </w:r>
    </w:p>
    <w:p w14:paraId="463A7452" w14:textId="77777777" w:rsidR="00AE1589" w:rsidRPr="008426A1" w:rsidRDefault="00AE1589" w:rsidP="00BB7E78">
      <w:pPr>
        <w:jc w:val="both"/>
        <w:rPr>
          <w:sz w:val="24"/>
          <w:szCs w:val="24"/>
        </w:rPr>
      </w:pPr>
      <w:r w:rsidRPr="008426A1">
        <w:rPr>
          <w:sz w:val="24"/>
          <w:szCs w:val="24"/>
        </w:rPr>
        <w:t>Une comparaison de l’état du droit en Belgique, en Espagne et en France devient nécessaire pour comprendre et mesurer ce mouvement juridique, avant une étude plus large englobant tous les pays européens.</w:t>
      </w:r>
    </w:p>
    <w:sectPr w:rsidR="00AE1589" w:rsidRPr="008426A1" w:rsidSect="00E56E97">
      <w:pgSz w:w="12240" w:h="15840"/>
      <w:pgMar w:top="1417" w:right="1417" w:bottom="1417" w:left="1417"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E78"/>
    <w:rsid w:val="008426A1"/>
    <w:rsid w:val="00AB12A8"/>
    <w:rsid w:val="00AE1589"/>
    <w:rsid w:val="00BB7E78"/>
    <w:rsid w:val="00CE5D9B"/>
    <w:rsid w:val="00E14D2E"/>
    <w:rsid w:val="00E56E97"/>
    <w:rsid w:val="00EA64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EADCE"/>
  <w15:chartTrackingRefBased/>
  <w15:docId w15:val="{4F41412F-1AF3-432A-8F87-BFDE0B75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292</Words>
  <Characters>1606</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Université Paris 1 Panthéon Sorbonne</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Norbert Foulquier</dc:creator>
  <cp:keywords/>
  <dc:description/>
  <cp:lastModifiedBy>David Renders</cp:lastModifiedBy>
  <cp:revision>4</cp:revision>
  <dcterms:created xsi:type="dcterms:W3CDTF">2026-03-20T16:49:00Z</dcterms:created>
  <dcterms:modified xsi:type="dcterms:W3CDTF">2026-03-21T20:33:00Z</dcterms:modified>
</cp:coreProperties>
</file>